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C717C0">
        <w:rPr>
          <w:b/>
          <w:sz w:val="28"/>
          <w:szCs w:val="28"/>
        </w:rPr>
        <w:t>02</w:t>
      </w:r>
      <w:r w:rsidR="00FA7F27">
        <w:rPr>
          <w:b/>
          <w:sz w:val="28"/>
          <w:szCs w:val="28"/>
        </w:rPr>
        <w:t>.</w:t>
      </w:r>
      <w:r w:rsidR="00C717C0">
        <w:rPr>
          <w:b/>
          <w:sz w:val="28"/>
          <w:szCs w:val="28"/>
        </w:rPr>
        <w:t>03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C717C0">
        <w:rPr>
          <w:b/>
          <w:sz w:val="28"/>
          <w:szCs w:val="28"/>
        </w:rPr>
        <w:t>00125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630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8350F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B3095D" w:rsidRDefault="00F6469F" w:rsidP="00B3095D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Д.Ю.Григорьева.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A10417" w:rsidRDefault="00A10417" w:rsidP="006B3790">
      <w:pPr>
        <w:jc w:val="both"/>
        <w:rPr>
          <w:sz w:val="28"/>
          <w:szCs w:val="28"/>
        </w:rPr>
      </w:pP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C717C0">
        <w:rPr>
          <w:sz w:val="28"/>
          <w:szCs w:val="28"/>
        </w:rPr>
        <w:t>02</w:t>
      </w:r>
      <w:r w:rsidR="00FA7F27" w:rsidRPr="00C139EB">
        <w:rPr>
          <w:sz w:val="28"/>
          <w:szCs w:val="28"/>
        </w:rPr>
        <w:t>.</w:t>
      </w:r>
      <w:r w:rsidR="00C717C0">
        <w:rPr>
          <w:sz w:val="28"/>
          <w:szCs w:val="28"/>
        </w:rPr>
        <w:t>03</w:t>
      </w:r>
      <w:r w:rsidR="00FA7F27" w:rsidRPr="00C139EB">
        <w:rPr>
          <w:sz w:val="28"/>
          <w:szCs w:val="28"/>
        </w:rPr>
        <w:t>.201</w:t>
      </w:r>
      <w:r w:rsidR="00AE5098" w:rsidRPr="00C139EB">
        <w:rPr>
          <w:sz w:val="28"/>
          <w:szCs w:val="28"/>
        </w:rPr>
        <w:t>7</w:t>
      </w:r>
      <w:r w:rsidR="00FA7F27" w:rsidRPr="00C139EB">
        <w:rPr>
          <w:sz w:val="28"/>
          <w:szCs w:val="28"/>
        </w:rPr>
        <w:t xml:space="preserve">  №  </w:t>
      </w:r>
      <w:r w:rsidR="00C717C0">
        <w:rPr>
          <w:sz w:val="28"/>
          <w:szCs w:val="28"/>
        </w:rPr>
        <w:t>00125</w:t>
      </w:r>
    </w:p>
    <w:p w:rsidR="00A0579E" w:rsidRPr="00A0579E" w:rsidRDefault="00A0579E" w:rsidP="00B3095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A0579E">
        <w:rPr>
          <w:i/>
        </w:rPr>
        <w:t>(в  редакции постановлений от 10.10.2017. № 00701,</w:t>
      </w:r>
    </w:p>
    <w:p w:rsidR="00A0579E" w:rsidRPr="00A0579E" w:rsidRDefault="00A0579E" w:rsidP="00B3095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</w:t>
      </w:r>
      <w:r w:rsidRPr="00A0579E">
        <w:rPr>
          <w:i/>
        </w:rPr>
        <w:t xml:space="preserve">  </w:t>
      </w:r>
      <w:r>
        <w:rPr>
          <w:i/>
        </w:rPr>
        <w:t>о</w:t>
      </w:r>
      <w:r w:rsidRPr="00A0579E">
        <w:rPr>
          <w:i/>
        </w:rPr>
        <w:t>т 11.04.2019 № 00231)</w:t>
      </w:r>
    </w:p>
    <w:p w:rsidR="00435855" w:rsidRPr="00A0579E" w:rsidRDefault="00435855" w:rsidP="00435855">
      <w:pPr>
        <w:pStyle w:val="4"/>
        <w:spacing w:before="0" w:after="0"/>
        <w:jc w:val="center"/>
        <w:rPr>
          <w:i/>
          <w:sz w:val="20"/>
          <w:szCs w:val="20"/>
        </w:rPr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CE30E2">
        <w:t xml:space="preserve"> МУНИЦИПАЛЬНОГ ОБРАЗОВАНИЯ «КАРДЫМОВСКИЙ РАЙОН» СМОЛЕНСКОЙ ОБЛАСТИ</w:t>
      </w:r>
      <w: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«Кардымовский район» Смоленской области (кроме земли)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Смоленской области (далее </w:t>
      </w:r>
      <w:r w:rsidR="00B3095D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Администрация).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5F556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3061E">
        <w:rPr>
          <w:sz w:val="28"/>
          <w:szCs w:val="28"/>
        </w:rPr>
        <w:t>3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6203B" w:rsidRDefault="005F5560" w:rsidP="004620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46203B" w:rsidRPr="00535597">
        <w:rPr>
          <w:sz w:val="28"/>
          <w:szCs w:val="28"/>
        </w:rPr>
        <w:t>Для получения информации по вопросам пред</w:t>
      </w:r>
      <w:r w:rsidR="0046203B">
        <w:rPr>
          <w:sz w:val="28"/>
          <w:szCs w:val="28"/>
        </w:rPr>
        <w:t xml:space="preserve">оставления муниципальной услуги заинтересованные </w:t>
      </w:r>
      <w:r w:rsidR="0046203B" w:rsidRPr="00535597">
        <w:rPr>
          <w:sz w:val="28"/>
          <w:szCs w:val="28"/>
        </w:rPr>
        <w:t>лица</w:t>
      </w:r>
      <w:r w:rsidR="0046203B">
        <w:rPr>
          <w:sz w:val="28"/>
          <w:szCs w:val="28"/>
        </w:rPr>
        <w:t xml:space="preserve"> </w:t>
      </w:r>
      <w:r w:rsidR="0046203B" w:rsidRPr="00535597">
        <w:rPr>
          <w:sz w:val="28"/>
          <w:szCs w:val="28"/>
        </w:rPr>
        <w:t>обращаются в</w:t>
      </w:r>
      <w:r w:rsidR="0046203B">
        <w:rPr>
          <w:sz w:val="28"/>
          <w:szCs w:val="28"/>
        </w:rPr>
        <w:t xml:space="preserve"> Администрацию, структурное </w:t>
      </w:r>
      <w:r w:rsidR="0046203B" w:rsidRPr="00535597">
        <w:rPr>
          <w:sz w:val="28"/>
          <w:szCs w:val="28"/>
        </w:rPr>
        <w:t>подразделение</w:t>
      </w:r>
      <w:r w:rsidR="0046203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4" type="#_x0000_t202" style="position:absolute;left:0;text-align:left;margin-left:88.55pt;margin-top:26.05pt;width:197.2pt;height:18.35pt;z-index:-251590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F51E68" w:rsidRDefault="00F51E68" w:rsidP="0046203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6203B">
        <w:rPr>
          <w:sz w:val="28"/>
          <w:szCs w:val="28"/>
        </w:rPr>
        <w:t xml:space="preserve"> </w:t>
      </w:r>
      <w:r w:rsidR="0046203B" w:rsidRPr="00535597">
        <w:rPr>
          <w:sz w:val="28"/>
          <w:szCs w:val="28"/>
        </w:rPr>
        <w:t>Администрации, ответственное за предост</w:t>
      </w:r>
      <w:r w:rsidR="0046203B">
        <w:rPr>
          <w:sz w:val="28"/>
          <w:szCs w:val="28"/>
        </w:rPr>
        <w:t xml:space="preserve">авление муниципальной услуги </w:t>
      </w:r>
      <w:r w:rsidR="0046203B" w:rsidRPr="00535597">
        <w:rPr>
          <w:sz w:val="28"/>
          <w:szCs w:val="28"/>
        </w:rPr>
        <w:t>–</w:t>
      </w:r>
      <w:r w:rsidR="0046203B">
        <w:rPr>
          <w:sz w:val="28"/>
          <w:szCs w:val="28"/>
        </w:rPr>
        <w:t xml:space="preserve"> отдел экономики, инвестиций, имущественных отношений </w:t>
      </w:r>
      <w:r w:rsidR="0046203B" w:rsidRPr="003F0791">
        <w:rPr>
          <w:sz w:val="28"/>
          <w:szCs w:val="28"/>
        </w:rPr>
        <w:t xml:space="preserve">Администрации </w:t>
      </w:r>
      <w:r w:rsidR="0046203B">
        <w:rPr>
          <w:sz w:val="28"/>
          <w:szCs w:val="28"/>
        </w:rPr>
        <w:t xml:space="preserve">(далее - Отдел) или </w:t>
      </w:r>
      <w:r w:rsidR="0046203B" w:rsidRPr="00771B6E">
        <w:rPr>
          <w:sz w:val="28"/>
          <w:szCs w:val="28"/>
        </w:rPr>
        <w:t xml:space="preserve">в </w:t>
      </w:r>
      <w:r w:rsidR="0046203B" w:rsidRPr="000C1462">
        <w:rPr>
          <w:rStyle w:val="a8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6203B" w:rsidRPr="00771B6E">
        <w:rPr>
          <w:sz w:val="28"/>
          <w:szCs w:val="28"/>
        </w:rPr>
        <w:t xml:space="preserve"> (далее - МФЦ)</w:t>
      </w:r>
      <w:r w:rsidR="0046203B">
        <w:rPr>
          <w:sz w:val="28"/>
          <w:szCs w:val="28"/>
        </w:rPr>
        <w:t>: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6203B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6203B" w:rsidRPr="00487CEC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6203B" w:rsidRDefault="0046203B" w:rsidP="004620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6203B" w:rsidRDefault="0046203B" w:rsidP="004620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6203B" w:rsidRDefault="0046203B" w:rsidP="004620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6203B" w:rsidRPr="00152263" w:rsidRDefault="0046203B" w:rsidP="0046203B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6203B" w:rsidRPr="00152263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6203B" w:rsidRPr="00152263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6203B" w:rsidRPr="00771B6E" w:rsidRDefault="0046203B" w:rsidP="0046203B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6203B" w:rsidRPr="00771B6E" w:rsidRDefault="0046203B" w:rsidP="0046203B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6203B" w:rsidRPr="000223A3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6203B" w:rsidRPr="00535597" w:rsidRDefault="0046203B" w:rsidP="0046203B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6203B" w:rsidRPr="000223A3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6203B" w:rsidRPr="00535597" w:rsidRDefault="0046203B" w:rsidP="0046203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03B" w:rsidRPr="0046203B" w:rsidRDefault="0046203B" w:rsidP="0046203B">
      <w:pPr>
        <w:tabs>
          <w:tab w:val="left" w:pos="709"/>
        </w:tabs>
        <w:ind w:firstLine="709"/>
        <w:jc w:val="both"/>
        <w:rPr>
          <w:i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46203B">
        <w:rPr>
          <w:i/>
        </w:rPr>
        <w:t>(в ред. пост. от 10.10.2017 № 00701).</w:t>
      </w:r>
    </w:p>
    <w:p w:rsidR="00CB44E2" w:rsidRPr="002621AE" w:rsidRDefault="00CB44E2" w:rsidP="004620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 67.</w:t>
      </w:r>
    </w:p>
    <w:p w:rsidR="00105E01" w:rsidRDefault="00105E01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07">
        <w:rPr>
          <w:rFonts w:ascii="Times New Roman" w:hAnsi="Times New Roman" w:cs="Times New Roman"/>
          <w:sz w:val="28"/>
          <w:szCs w:val="28"/>
        </w:rPr>
        <w:t>15.</w:t>
      </w:r>
      <w:r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подает заявление о приватизации имущества, находящегося в собственности муниципального образования «Кардымовский район» Смоленской области</w:t>
      </w:r>
      <w:r w:rsidR="00070B07">
        <w:rPr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414B">
        <w:rPr>
          <w:sz w:val="28"/>
          <w:szCs w:val="28"/>
        </w:rPr>
        <w:t>7</w:t>
      </w:r>
      <w:r>
        <w:rPr>
          <w:sz w:val="28"/>
          <w:szCs w:val="28"/>
        </w:rPr>
        <w:t>. К заявлению прилагаются:</w:t>
      </w:r>
    </w:p>
    <w:p w:rsidR="00070B07" w:rsidRDefault="00423A7C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Pr="00216E5D">
        <w:rPr>
          <w:sz w:val="28"/>
          <w:szCs w:val="28"/>
        </w:rPr>
        <w:t xml:space="preserve"> 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070B07" w:rsidRPr="00181FB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070B07" w:rsidRDefault="00070B07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юридических лиц:</w:t>
      </w:r>
    </w:p>
    <w:p w:rsidR="00070B07" w:rsidRPr="00BE1580" w:rsidRDefault="00070B07" w:rsidP="00070B07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246C3" w:rsidRPr="00C246C3" w:rsidRDefault="00296815" w:rsidP="00C246C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C246C3">
        <w:rPr>
          <w:color w:val="000000"/>
          <w:sz w:val="28"/>
          <w:szCs w:val="28"/>
        </w:rPr>
        <w:t xml:space="preserve"> </w:t>
      </w:r>
      <w:r w:rsidR="00C246C3" w:rsidRPr="00C246C3">
        <w:rPr>
          <w:color w:val="000000"/>
          <w:sz w:val="28"/>
          <w:szCs w:val="28"/>
        </w:rPr>
        <w:t>документы, подтверждающие полномочия 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F51E68" w:rsidRDefault="00CB44E2" w:rsidP="00F51E6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="00F51E68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51E68" w:rsidRPr="00083AEB" w:rsidRDefault="00F51E68" w:rsidP="00F51E6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F51E68" w:rsidRPr="00083AEB" w:rsidRDefault="00F51E68" w:rsidP="00F51E6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E68" w:rsidRPr="00083AEB" w:rsidRDefault="00F51E68" w:rsidP="00F51E6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E68" w:rsidRPr="00083AEB" w:rsidRDefault="00F51E68" w:rsidP="00F51E6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E68" w:rsidRPr="00083AEB" w:rsidRDefault="00F51E68" w:rsidP="00F51E6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Pr="00C03DD0" w:rsidRDefault="00F51E68" w:rsidP="00F51E6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C03DD0">
        <w:rPr>
          <w:i/>
          <w:sz w:val="20"/>
          <w:szCs w:val="20"/>
        </w:rPr>
        <w:t>(в ред. пост. от 11.04.2019)</w:t>
      </w:r>
      <w:r w:rsidR="00C03DD0" w:rsidRPr="00C03DD0">
        <w:rPr>
          <w:i/>
          <w:sz w:val="20"/>
          <w:szCs w:val="20"/>
        </w:rPr>
        <w:t>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>имущество не включенно</w:t>
      </w:r>
      <w:r w:rsidR="00B3095D">
        <w:rPr>
          <w:sz w:val="28"/>
          <w:szCs w:val="28"/>
        </w:rPr>
        <w:t>е</w:t>
      </w:r>
      <w:r w:rsidR="00F81796">
        <w:rPr>
          <w:sz w:val="28"/>
          <w:szCs w:val="28"/>
        </w:rPr>
        <w:t xml:space="preserve">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>муниципального образования «Кардымовский район» Смоленской области имущества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A09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705A09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705A09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CB44E2" w:rsidRDefault="00C357EA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A09">
        <w:rPr>
          <w:sz w:val="28"/>
          <w:szCs w:val="28"/>
        </w:rPr>
        <w:t>2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3095D" w:rsidRPr="002621AE" w:rsidRDefault="00B3095D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1B3C07" w:rsidRDefault="00705A09" w:rsidP="00705A09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 w:rsidR="00C139EB"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347B6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15</w:t>
      </w:r>
      <w:r w:rsidR="00F22C24">
        <w:rPr>
          <w:sz w:val="28"/>
          <w:szCs w:val="28"/>
        </w:rPr>
        <w:t>, 16, 17</w:t>
      </w:r>
      <w:r w:rsidR="00F22C24" w:rsidRPr="00A44E62">
        <w:rPr>
          <w:sz w:val="28"/>
          <w:szCs w:val="28"/>
        </w:rPr>
        <w:t xml:space="preserve"> и 1</w:t>
      </w:r>
      <w:r w:rsidR="00F22C24">
        <w:rPr>
          <w:sz w:val="28"/>
          <w:szCs w:val="28"/>
        </w:rPr>
        <w:t>9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F22C24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25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4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4C3108">
        <w:rPr>
          <w:sz w:val="28"/>
          <w:szCs w:val="28"/>
        </w:rPr>
        <w:t>5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4C3108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4C3108">
        <w:rPr>
          <w:sz w:val="28"/>
          <w:szCs w:val="28"/>
        </w:rPr>
        <w:t>9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 xml:space="preserve">аличии предусмотренных пунктом 25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4C3108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4C3108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lastRenderedPageBreak/>
        <w:t>7</w:t>
      </w:r>
      <w:r w:rsidR="004C3108">
        <w:rPr>
          <w:sz w:val="28"/>
          <w:szCs w:val="28"/>
        </w:rPr>
        <w:t>4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4C3108">
        <w:rPr>
          <w:rFonts w:ascii="Times New Roman" w:hAnsi="Times New Roman" w:cs="Times New Roman"/>
          <w:sz w:val="28"/>
          <w:szCs w:val="28"/>
        </w:rPr>
        <w:t>5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C31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t>7</w:t>
      </w:r>
      <w:r w:rsidR="00867577" w:rsidRPr="007007E1">
        <w:rPr>
          <w:sz w:val="28"/>
          <w:szCs w:val="28"/>
          <w:lang w:eastAsia="ru-RU"/>
        </w:rPr>
        <w:t>7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867577" w:rsidRPr="007007E1">
        <w:rPr>
          <w:sz w:val="28"/>
          <w:szCs w:val="28"/>
        </w:rPr>
        <w:t>8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867577" w:rsidRPr="007007E1">
        <w:rPr>
          <w:rStyle w:val="blk"/>
          <w:sz w:val="28"/>
          <w:szCs w:val="28"/>
        </w:rPr>
        <w:t>9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867577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80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63061E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63061E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82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83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4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3061E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>, предусмотренные пунктами 7</w:t>
      </w:r>
      <w:r w:rsidR="000C6FF8">
        <w:rPr>
          <w:sz w:val="28"/>
          <w:szCs w:val="28"/>
        </w:rPr>
        <w:t>1</w:t>
      </w:r>
      <w:r w:rsidR="006B1998">
        <w:rPr>
          <w:sz w:val="28"/>
          <w:szCs w:val="28"/>
        </w:rPr>
        <w:t>-75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t>8</w:t>
      </w:r>
      <w:r w:rsidR="0063061E">
        <w:rPr>
          <w:sz w:val="28"/>
          <w:szCs w:val="28"/>
        </w:rPr>
        <w:t>8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3061E">
        <w:rPr>
          <w:sz w:val="28"/>
          <w:szCs w:val="28"/>
        </w:rPr>
        <w:t>9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63061E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D8287D">
        <w:rPr>
          <w:sz w:val="28"/>
          <w:szCs w:val="28"/>
        </w:rPr>
        <w:t>91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63061E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7D">
        <w:rPr>
          <w:rFonts w:ascii="Times New Roman" w:hAnsi="Times New Roman" w:cs="Times New Roman"/>
          <w:sz w:val="28"/>
          <w:szCs w:val="28"/>
        </w:rPr>
        <w:t>92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93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63061E">
        <w:rPr>
          <w:sz w:val="28"/>
          <w:szCs w:val="28"/>
        </w:rPr>
        <w:t>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B7295" w:rsidRPr="008B7295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B7295" w:rsidRPr="008B7295" w:rsidRDefault="008B7295" w:rsidP="008B7295">
      <w:pPr>
        <w:shd w:val="clear" w:color="auto" w:fill="FFFFFF"/>
        <w:ind w:firstLine="709"/>
        <w:jc w:val="both"/>
        <w:rPr>
          <w:sz w:val="28"/>
          <w:szCs w:val="28"/>
        </w:rPr>
      </w:pPr>
      <w:r w:rsidRPr="008B7295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B7295" w:rsidRPr="008B7295" w:rsidRDefault="008B7295" w:rsidP="008B729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8B7295">
        <w:rPr>
          <w:rStyle w:val="blk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8B7295">
        <w:rPr>
          <w:rStyle w:val="blk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8B7295" w:rsidRPr="008B7295" w:rsidRDefault="008B7295" w:rsidP="008B729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8B7295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8B7295" w:rsidRPr="008B7295" w:rsidRDefault="008B7295" w:rsidP="008B7295">
      <w:pPr>
        <w:ind w:firstLine="709"/>
        <w:jc w:val="both"/>
        <w:rPr>
          <w:sz w:val="28"/>
          <w:szCs w:val="28"/>
        </w:rPr>
      </w:pPr>
      <w:r w:rsidRPr="008B7295">
        <w:rPr>
          <w:sz w:val="28"/>
          <w:szCs w:val="28"/>
        </w:rPr>
        <w:t>97. Ответ на жалобу заявителя не дается в случаях, если:</w:t>
      </w:r>
    </w:p>
    <w:p w:rsidR="008B7295" w:rsidRPr="00083AEB" w:rsidRDefault="008B7295" w:rsidP="008B7295">
      <w:pPr>
        <w:ind w:firstLine="709"/>
        <w:jc w:val="both"/>
        <w:rPr>
          <w:sz w:val="28"/>
          <w:szCs w:val="28"/>
        </w:rPr>
      </w:pPr>
      <w:r w:rsidRPr="008B7295">
        <w:rPr>
          <w:sz w:val="28"/>
          <w:szCs w:val="28"/>
        </w:rPr>
        <w:t>- в жалобе не указаны фамилия заявителя</w:t>
      </w:r>
      <w:r w:rsidRPr="00083AEB">
        <w:rPr>
          <w:sz w:val="28"/>
          <w:szCs w:val="28"/>
        </w:rPr>
        <w:t>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8B7295" w:rsidRPr="00083AEB" w:rsidRDefault="008B7295" w:rsidP="008B7295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B7295" w:rsidRPr="00083AEB" w:rsidRDefault="008B7295" w:rsidP="008B7295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B7295" w:rsidRPr="00083AEB" w:rsidRDefault="008B7295" w:rsidP="008B7295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B7295" w:rsidRPr="00083AEB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8B7295" w:rsidRPr="008B7295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</w:t>
      </w:r>
      <w:r w:rsidRPr="008B7295">
        <w:rPr>
          <w:rFonts w:ascii="Times New Roman" w:hAnsi="Times New Roman" w:cs="Times New Roman"/>
          <w:sz w:val="28"/>
          <w:szCs w:val="28"/>
        </w:rPr>
        <w:t>) отказывает в удовлетворении жалобы.</w:t>
      </w:r>
    </w:p>
    <w:p w:rsidR="008B7295" w:rsidRPr="008B7295" w:rsidRDefault="008B7295" w:rsidP="008B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95">
        <w:rPr>
          <w:rFonts w:ascii="Times New Roman" w:hAnsi="Times New Roman" w:cs="Times New Roman"/>
          <w:sz w:val="28"/>
          <w:szCs w:val="28"/>
        </w:rPr>
        <w:t>103.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295" w:rsidRPr="008B7295" w:rsidRDefault="008B7295" w:rsidP="008B7295">
      <w:pPr>
        <w:shd w:val="clear" w:color="auto" w:fill="FFFFFF"/>
        <w:ind w:firstLine="709"/>
        <w:jc w:val="both"/>
        <w:rPr>
          <w:sz w:val="28"/>
          <w:szCs w:val="28"/>
        </w:rPr>
      </w:pPr>
      <w:r w:rsidRPr="008B7295">
        <w:rPr>
          <w:rStyle w:val="blk"/>
          <w:sz w:val="28"/>
          <w:szCs w:val="28"/>
        </w:rPr>
        <w:t>104.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7295" w:rsidRPr="008B7295" w:rsidRDefault="008B7295" w:rsidP="008B729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8B7295">
        <w:rPr>
          <w:rStyle w:val="blk"/>
          <w:sz w:val="28"/>
          <w:szCs w:val="28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7295" w:rsidRPr="00C03DD0" w:rsidRDefault="008B7295" w:rsidP="008B729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8B7295">
        <w:rPr>
          <w:sz w:val="28"/>
          <w:szCs w:val="28"/>
        </w:rPr>
        <w:t>105. Заявители вправе обжаловать решения, принятые</w:t>
      </w:r>
      <w:r w:rsidRPr="00083AEB">
        <w:rPr>
          <w:sz w:val="28"/>
          <w:szCs w:val="28"/>
        </w:rPr>
        <w:t xml:space="preserve">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C03DD0">
        <w:rPr>
          <w:i/>
          <w:sz w:val="20"/>
          <w:szCs w:val="20"/>
        </w:rPr>
        <w:t xml:space="preserve"> (в ред. пост. от 11.04.2019).</w:t>
      </w:r>
    </w:p>
    <w:p w:rsidR="00387BB9" w:rsidRPr="00BD7507" w:rsidRDefault="00387BB9" w:rsidP="00387BB9">
      <w:pPr>
        <w:ind w:firstLine="709"/>
        <w:jc w:val="both"/>
      </w:pPr>
      <w:r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B7295" w:rsidRDefault="008B7295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76012" w:rsidRDefault="0027601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>находящегося в собственности муниципального образования «Кардымовский район»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3"/>
          <w:footerReference w:type="first" r:id="rId14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B151B6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F51E68" w:rsidRPr="0027305A" w:rsidRDefault="00F51E68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B151B6" w:rsidP="003C223B">
      <w:pPr>
        <w:jc w:val="center"/>
      </w:pPr>
      <w:r w:rsidRPr="00B151B6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B151B6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F51E68" w:rsidRPr="001C13BA" w:rsidRDefault="00F51E68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F51E68" w:rsidRDefault="00F51E68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B151B6" w:rsidP="003C223B">
      <w:r w:rsidRPr="00B151B6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B151B6" w:rsidP="003C223B">
      <w:pPr>
        <w:rPr>
          <w:sz w:val="28"/>
          <w:szCs w:val="28"/>
        </w:rPr>
      </w:pPr>
      <w:r w:rsidRPr="00B151B6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F51E68" w:rsidRDefault="00F51E68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F51E68" w:rsidRPr="0027305A" w:rsidRDefault="00F51E68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B151B6" w:rsidP="003C223B">
      <w:pPr>
        <w:jc w:val="center"/>
        <w:rPr>
          <w:b/>
          <w:sz w:val="24"/>
          <w:szCs w:val="24"/>
        </w:rPr>
      </w:pPr>
      <w:r w:rsidRPr="00B151B6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B151B6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F51E68" w:rsidRPr="0027305A" w:rsidRDefault="00F51E68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B151B6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F51E68" w:rsidRPr="0027305A" w:rsidRDefault="00F51E68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151B6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F51E68" w:rsidRPr="0027305A" w:rsidRDefault="00F51E68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B151B6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B151B6" w:rsidP="00B33CC8">
      <w:pPr>
        <w:ind w:firstLine="709"/>
        <w:jc w:val="center"/>
      </w:pPr>
      <w:r w:rsidRPr="00B151B6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151B6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F51E68" w:rsidRDefault="00F51E68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F51E68" w:rsidRPr="001C13BA" w:rsidRDefault="00F51E68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B151B6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F51E68" w:rsidRPr="00886577" w:rsidRDefault="00F51E68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F51E68" w:rsidRPr="005331EF" w:rsidRDefault="00F51E68" w:rsidP="00191470"/>
              </w:txbxContent>
            </v:textbox>
          </v:shape>
        </w:pict>
      </w:r>
      <w:r w:rsidRPr="00B151B6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F51E68" w:rsidRPr="00886577" w:rsidRDefault="00F51E68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B151B6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151B6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151B6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F51E68" w:rsidRPr="00CA49FC" w:rsidRDefault="00F51E68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F51E68" w:rsidRPr="00442C33" w:rsidRDefault="00F51E68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F51E68" w:rsidRDefault="00F51E68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F51E68" w:rsidRPr="00442C33" w:rsidRDefault="00F51E68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F51E68" w:rsidRPr="00442C33" w:rsidRDefault="00F51E68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B151B6" w:rsidP="00B33CC8">
      <w:pPr>
        <w:ind w:firstLine="709"/>
        <w:jc w:val="center"/>
      </w:pPr>
      <w:r w:rsidRPr="00B151B6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F51E68" w:rsidRPr="0027305A" w:rsidRDefault="00F51E68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B151B6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B151B6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151B6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B151B6" w:rsidP="00FD7A24">
      <w:pPr>
        <w:tabs>
          <w:tab w:val="left" w:pos="142"/>
        </w:tabs>
        <w:ind w:firstLine="709"/>
        <w:jc w:val="center"/>
      </w:pPr>
      <w:r w:rsidRPr="00B151B6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F51E68" w:rsidRPr="0027305A" w:rsidRDefault="00F51E68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B151B6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F51E68" w:rsidRPr="001C13BA" w:rsidRDefault="00F51E68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B151B6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F51E68" w:rsidRPr="00871E1A" w:rsidRDefault="00F51E68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F51E68" w:rsidRPr="00092677" w:rsidRDefault="00F51E68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F51E68" w:rsidRDefault="00F51E68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F51E68" w:rsidRPr="00871E1A" w:rsidRDefault="00F51E68" w:rsidP="00871E1A"/>
              </w:txbxContent>
            </v:textbox>
          </v:shape>
        </w:pict>
      </w:r>
    </w:p>
    <w:p w:rsidR="00B33CC8" w:rsidRPr="008B6BC6" w:rsidRDefault="00B151B6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B151B6" w:rsidP="00B33CC8">
      <w:pPr>
        <w:ind w:firstLine="709"/>
        <w:jc w:val="center"/>
      </w:pPr>
      <w:r w:rsidRPr="00B151B6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B151B6" w:rsidP="00B33CC8">
      <w:pPr>
        <w:ind w:firstLine="709"/>
      </w:pPr>
      <w:r w:rsidRPr="00B151B6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F51E68" w:rsidRPr="0027305A" w:rsidRDefault="00F51E68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151B6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F51E68" w:rsidRPr="00C05FDA" w:rsidRDefault="00F51E68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F51E68" w:rsidRPr="00871E1A" w:rsidRDefault="00F51E68" w:rsidP="00C05FDA"/>
              </w:txbxContent>
            </v:textbox>
          </v:shape>
        </w:pict>
      </w:r>
    </w:p>
    <w:p w:rsidR="00B33CC8" w:rsidRPr="0078498B" w:rsidRDefault="00B151B6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B151B6" w:rsidP="00B33CC8">
      <w:pPr>
        <w:rPr>
          <w:sz w:val="28"/>
          <w:szCs w:val="28"/>
        </w:rPr>
      </w:pPr>
      <w:r w:rsidRPr="00B151B6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B151B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F51E68" w:rsidRPr="0027305A" w:rsidRDefault="00F51E68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B151B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B151B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F51E68" w:rsidRPr="00871E1A" w:rsidRDefault="00F51E68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F51E68" w:rsidRPr="00092677" w:rsidRDefault="00F51E68" w:rsidP="00871E1A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B151B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1.1pt;margin-top:17.35pt;width:0;height:14.5pt;z-index:251713024" o:connectortype="straight">
            <v:stroke endarrow="block"/>
          </v:shape>
        </w:pict>
      </w:r>
      <w:r w:rsidRPr="00B151B6">
        <w:rPr>
          <w:b/>
          <w:noProof/>
        </w:rPr>
        <w:pict>
          <v:shape id="_x0000_s1157" type="#_x0000_t202" style="position:absolute;left:0;text-align:left;margin-left:5.95pt;margin-top:36.3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F51E68" w:rsidRPr="00092677" w:rsidRDefault="00F51E68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F51E68" w:rsidRPr="00092677" w:rsidRDefault="00F51E68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F51E68" w:rsidRPr="00330661" w:rsidRDefault="00F51E68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F51E68" w:rsidRPr="00CA49FC" w:rsidRDefault="00F51E68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F51E68" w:rsidRPr="00CA49FC" w:rsidRDefault="00F51E68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F51E68" w:rsidRPr="00CA49FC" w:rsidRDefault="00F51E68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F51E68" w:rsidRPr="00330661" w:rsidRDefault="00F51E68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F51E68" w:rsidRPr="00CA49FC" w:rsidRDefault="00F51E68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F51E68" w:rsidRPr="00CA49FC" w:rsidRDefault="00F51E68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B151B6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F51E68" w:rsidRPr="00CA49FC" w:rsidRDefault="00F51E68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F51E68" w:rsidRPr="004C5216" w:rsidRDefault="00F51E68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B2" w:rsidRDefault="003003B2" w:rsidP="00AD5B28">
      <w:r>
        <w:separator/>
      </w:r>
    </w:p>
  </w:endnote>
  <w:endnote w:type="continuationSeparator" w:id="1">
    <w:p w:rsidR="003003B2" w:rsidRDefault="003003B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68" w:rsidRPr="00F31718" w:rsidRDefault="00F51E68">
    <w:pPr>
      <w:pStyle w:val="ac"/>
      <w:rPr>
        <w:sz w:val="16"/>
      </w:rPr>
    </w:pPr>
    <w:r>
      <w:rPr>
        <w:sz w:val="16"/>
      </w:rPr>
      <w:t>Рег. № 00125  от 02.03.2017, Подписано ЭП: Беляев Евгений Васильевич, "Глава муниципального образования ""Кардымовский район"" Смол.обл." 02.03.2017 16:47:27,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B2" w:rsidRDefault="003003B2" w:rsidP="00AD5B28">
      <w:r>
        <w:separator/>
      </w:r>
    </w:p>
  </w:footnote>
  <w:footnote w:type="continuationSeparator" w:id="1">
    <w:p w:rsidR="003003B2" w:rsidRDefault="003003B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68" w:rsidRDefault="00F51E6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1E68" w:rsidRDefault="00F51E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3B2"/>
    <w:rsid w:val="00300EB7"/>
    <w:rsid w:val="00304495"/>
    <w:rsid w:val="00306B16"/>
    <w:rsid w:val="00311D64"/>
    <w:rsid w:val="00311FC8"/>
    <w:rsid w:val="00312B49"/>
    <w:rsid w:val="003151BB"/>
    <w:rsid w:val="003218DC"/>
    <w:rsid w:val="003223E1"/>
    <w:rsid w:val="00326C3B"/>
    <w:rsid w:val="00326E0F"/>
    <w:rsid w:val="00330BE6"/>
    <w:rsid w:val="00332A98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52EF"/>
    <w:rsid w:val="00445D76"/>
    <w:rsid w:val="0045099F"/>
    <w:rsid w:val="004516F9"/>
    <w:rsid w:val="004560C8"/>
    <w:rsid w:val="0046203B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08A8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80D12"/>
    <w:rsid w:val="008845B3"/>
    <w:rsid w:val="0089306D"/>
    <w:rsid w:val="00897AF6"/>
    <w:rsid w:val="008A4086"/>
    <w:rsid w:val="008A4224"/>
    <w:rsid w:val="008B414B"/>
    <w:rsid w:val="008B476F"/>
    <w:rsid w:val="008B566F"/>
    <w:rsid w:val="008B7295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4C42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579E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D00"/>
    <w:rsid w:val="00B151B6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3DD0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401F9"/>
    <w:rsid w:val="00C419E6"/>
    <w:rsid w:val="00C50D4D"/>
    <w:rsid w:val="00C533A0"/>
    <w:rsid w:val="00C55D7B"/>
    <w:rsid w:val="00C575E5"/>
    <w:rsid w:val="00C57BAC"/>
    <w:rsid w:val="00C65756"/>
    <w:rsid w:val="00C717C0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C7EFF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718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E68"/>
    <w:rsid w:val="00F57193"/>
    <w:rsid w:val="00F607C0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2" type="connector" idref="#_x0000_s1183"/>
        <o:r id="V:Rule33" type="connector" idref="#_x0000_s1124"/>
        <o:r id="V:Rule34" type="connector" idref="#_x0000_s1134"/>
        <o:r id="V:Rule35" type="connector" idref="#_x0000_s1182"/>
        <o:r id="V:Rule36" type="connector" idref="#_x0000_s1139"/>
        <o:r id="V:Rule37" type="connector" idref="#_x0000_s1164"/>
        <o:r id="V:Rule38" type="connector" idref="#_x0000_s1173"/>
        <o:r id="V:Rule39" type="connector" idref="#_x0000_s1188"/>
        <o:r id="V:Rule40" type="connector" idref="#_x0000_s1145"/>
        <o:r id="V:Rule41" type="connector" idref="#_x0000_s1192"/>
        <o:r id="V:Rule42" type="connector" idref="#_x0000_s1163"/>
        <o:r id="V:Rule43" type="connector" idref="#_x0000_s1177"/>
        <o:r id="V:Rule44" type="connector" idref="#_x0000_s1138"/>
        <o:r id="V:Rule45" type="connector" idref="#_x0000_s1191"/>
        <o:r id="V:Rule46" type="connector" idref="#_x0000_s1165"/>
        <o:r id="V:Rule47" type="connector" idref="#_x0000_s1170"/>
        <o:r id="V:Rule48" type="connector" idref="#_x0000_s1189"/>
        <o:r id="V:Rule49" type="connector" idref="#_x0000_s1190"/>
        <o:r id="V:Rule50" type="connector" idref="#_x0000_s1144"/>
        <o:r id="V:Rule51" type="connector" idref="#_x0000_s1179"/>
        <o:r id="V:Rule52" type="connector" idref="#_x0000_s1176"/>
        <o:r id="V:Rule53" type="connector" idref="#_x0000_s1158"/>
        <o:r id="V:Rule54" type="connector" idref="#_x0000_s1171"/>
        <o:r id="V:Rule55" type="connector" idref="#_x0000_s1132"/>
        <o:r id="V:Rule56" type="connector" idref="#_x0000_s1154"/>
        <o:r id="V:Rule57" type="connector" idref="#_x0000_s1172"/>
        <o:r id="V:Rule58" type="connector" idref="#_x0000_s1174"/>
        <o:r id="V:Rule59" type="connector" idref="#_x0000_s1135"/>
        <o:r id="V:Rule60" type="connector" idref="#_x0000_s1146"/>
        <o:r id="V:Rule61" type="connector" idref="#_x0000_s1129"/>
        <o:r id="V:Rule62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48516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6</cp:revision>
  <cp:lastPrinted>2017-02-06T10:09:00Z</cp:lastPrinted>
  <dcterms:created xsi:type="dcterms:W3CDTF">2020-07-24T11:06:00Z</dcterms:created>
  <dcterms:modified xsi:type="dcterms:W3CDTF">2020-07-24T11:14:00Z</dcterms:modified>
</cp:coreProperties>
</file>