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3B5F">
        <w:rPr>
          <w:b/>
          <w:sz w:val="28"/>
          <w:szCs w:val="28"/>
        </w:rPr>
        <w:t xml:space="preserve"> 02</w:t>
      </w:r>
      <w:r w:rsidR="00FA7F27">
        <w:rPr>
          <w:b/>
          <w:sz w:val="28"/>
          <w:szCs w:val="28"/>
        </w:rPr>
        <w:t>.</w:t>
      </w:r>
      <w:r w:rsidR="007D3B5F">
        <w:rPr>
          <w:b/>
          <w:sz w:val="28"/>
          <w:szCs w:val="28"/>
        </w:rPr>
        <w:t>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7D3B5F">
        <w:rPr>
          <w:b/>
          <w:sz w:val="28"/>
          <w:szCs w:val="28"/>
        </w:rPr>
        <w:t>00125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3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Д.Ю.Григорьева.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A10417" w:rsidRDefault="00A10417" w:rsidP="006B3790">
      <w:pPr>
        <w:jc w:val="both"/>
        <w:rPr>
          <w:sz w:val="28"/>
          <w:szCs w:val="28"/>
        </w:rPr>
      </w:pP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7D3B5F">
        <w:rPr>
          <w:sz w:val="28"/>
          <w:szCs w:val="28"/>
        </w:rPr>
        <w:t>02</w:t>
      </w:r>
      <w:r w:rsidR="00FA7F27" w:rsidRPr="00C139EB">
        <w:rPr>
          <w:sz w:val="28"/>
          <w:szCs w:val="28"/>
        </w:rPr>
        <w:t>.</w:t>
      </w:r>
      <w:r w:rsidR="007D3B5F">
        <w:rPr>
          <w:sz w:val="28"/>
          <w:szCs w:val="28"/>
        </w:rPr>
        <w:t>03</w:t>
      </w:r>
      <w:r w:rsidR="00FA7F27" w:rsidRPr="00C139EB">
        <w:rPr>
          <w:sz w:val="28"/>
          <w:szCs w:val="28"/>
        </w:rPr>
        <w:t>.201</w:t>
      </w:r>
      <w:r w:rsidR="00AE5098" w:rsidRPr="00C139EB">
        <w:rPr>
          <w:sz w:val="28"/>
          <w:szCs w:val="28"/>
        </w:rPr>
        <w:t>7</w:t>
      </w:r>
      <w:r w:rsidR="00FA7F27" w:rsidRPr="00C139EB">
        <w:rPr>
          <w:sz w:val="28"/>
          <w:szCs w:val="28"/>
        </w:rPr>
        <w:t xml:space="preserve">  №  </w:t>
      </w:r>
      <w:r w:rsidR="007D3B5F">
        <w:rPr>
          <w:sz w:val="28"/>
          <w:szCs w:val="28"/>
        </w:rPr>
        <w:t>00125</w:t>
      </w: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CE30E2">
        <w:t xml:space="preserve"> МУНИЦИПАЛЬНОГ ОБРАЗОВАНИЯ «КАРДЫМОВСКИЙ РАЙОН» СМОЛЕНСКОЙ ОБЛАСТИ</w:t>
      </w:r>
      <w: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«Кардымовский район» Смоленской области (кроме земли)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(далее </w:t>
      </w:r>
      <w:r w:rsidR="00B3095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Администрация).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61E">
        <w:rPr>
          <w:sz w:val="28"/>
          <w:szCs w:val="28"/>
        </w:rPr>
        <w:t>3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2621AE">
        <w:rPr>
          <w:sz w:val="28"/>
          <w:szCs w:val="28"/>
        </w:rPr>
        <w:lastRenderedPageBreak/>
        <w:t>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(далее - Администрация)</w:t>
      </w:r>
      <w:r w:rsidRPr="002621AE">
        <w:rPr>
          <w:sz w:val="28"/>
          <w:szCs w:val="28"/>
        </w:rPr>
        <w:t xml:space="preserve">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CB44E2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 67.</w:t>
      </w:r>
    </w:p>
    <w:p w:rsidR="00105E01" w:rsidRDefault="00105E01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lastRenderedPageBreak/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07">
        <w:rPr>
          <w:rFonts w:ascii="Times New Roman" w:hAnsi="Times New Roman" w:cs="Times New Roman"/>
          <w:sz w:val="28"/>
          <w:szCs w:val="28"/>
        </w:rPr>
        <w:t>15.</w:t>
      </w:r>
      <w:r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заявление о приватизации имущества, находящегося в собственности муниципального образования «Кардымовский район» Смоленской области</w:t>
      </w:r>
      <w:r w:rsidR="00070B07">
        <w:rPr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14B">
        <w:rPr>
          <w:sz w:val="28"/>
          <w:szCs w:val="28"/>
        </w:rPr>
        <w:t>7</w:t>
      </w:r>
      <w:r>
        <w:rPr>
          <w:sz w:val="28"/>
          <w:szCs w:val="28"/>
        </w:rPr>
        <w:t>. К заявлению прилагаются:</w:t>
      </w:r>
    </w:p>
    <w:p w:rsidR="00070B07" w:rsidRDefault="00423A7C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Pr="00216E5D">
        <w:rPr>
          <w:sz w:val="28"/>
          <w:szCs w:val="28"/>
        </w:rPr>
        <w:t xml:space="preserve"> 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070B07" w:rsidRPr="00181FB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070B07" w:rsidRDefault="00070B07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246C3" w:rsidRPr="00C246C3" w:rsidRDefault="00296815" w:rsidP="00C246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C246C3">
        <w:rPr>
          <w:color w:val="000000"/>
          <w:sz w:val="28"/>
          <w:szCs w:val="28"/>
        </w:rPr>
        <w:t xml:space="preserve"> </w:t>
      </w:r>
      <w:r w:rsidR="00C246C3"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>имущество не включенно</w:t>
      </w:r>
      <w:r w:rsidR="00B3095D">
        <w:rPr>
          <w:sz w:val="28"/>
          <w:szCs w:val="28"/>
        </w:rPr>
        <w:t>е</w:t>
      </w:r>
      <w:r w:rsidR="00F81796">
        <w:rPr>
          <w:sz w:val="28"/>
          <w:szCs w:val="28"/>
        </w:rPr>
        <w:t xml:space="preserve">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>муниципального образования «Кардымовский район» Смоленской области имущества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705A09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705A09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C357EA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09"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3095D" w:rsidRPr="002621AE" w:rsidRDefault="00B3095D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1B3C07" w:rsidRDefault="00705A09" w:rsidP="00705A09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 w:rsidR="00C139EB"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15</w:t>
      </w:r>
      <w:r w:rsidR="00F22C24">
        <w:rPr>
          <w:sz w:val="28"/>
          <w:szCs w:val="28"/>
        </w:rPr>
        <w:t>, 16, 17</w:t>
      </w:r>
      <w:r w:rsidR="00F22C24" w:rsidRPr="00A44E62">
        <w:rPr>
          <w:sz w:val="28"/>
          <w:szCs w:val="28"/>
        </w:rPr>
        <w:t xml:space="preserve"> и 1</w:t>
      </w:r>
      <w:r w:rsidR="00F22C24">
        <w:rPr>
          <w:sz w:val="28"/>
          <w:szCs w:val="28"/>
        </w:rPr>
        <w:t>9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F22C24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lastRenderedPageBreak/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25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4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5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C3108">
        <w:rPr>
          <w:sz w:val="28"/>
          <w:szCs w:val="28"/>
        </w:rPr>
        <w:t>9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 xml:space="preserve">аличии предусмотренных пунктом 25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4C3108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4C3108">
        <w:rPr>
          <w:sz w:val="28"/>
          <w:szCs w:val="28"/>
        </w:rPr>
        <w:t>4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C3108">
        <w:rPr>
          <w:rFonts w:ascii="Times New Roman" w:hAnsi="Times New Roman" w:cs="Times New Roman"/>
          <w:sz w:val="28"/>
          <w:szCs w:val="28"/>
        </w:rPr>
        <w:t>5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C31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t>7</w:t>
      </w:r>
      <w:r w:rsidR="00867577" w:rsidRPr="007007E1">
        <w:rPr>
          <w:sz w:val="28"/>
          <w:szCs w:val="28"/>
          <w:lang w:eastAsia="ru-RU"/>
        </w:rPr>
        <w:t>7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867577" w:rsidRPr="007007E1">
        <w:rPr>
          <w:sz w:val="28"/>
          <w:szCs w:val="28"/>
        </w:rPr>
        <w:t>8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867577" w:rsidRPr="007007E1">
        <w:rPr>
          <w:rStyle w:val="blk"/>
          <w:sz w:val="28"/>
          <w:szCs w:val="28"/>
        </w:rPr>
        <w:t>9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867577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80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63061E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63061E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82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83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4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>, предусмотренные пунктами 7</w:t>
      </w:r>
      <w:r w:rsidR="000C6FF8">
        <w:rPr>
          <w:sz w:val="28"/>
          <w:szCs w:val="28"/>
        </w:rPr>
        <w:t>1</w:t>
      </w:r>
      <w:r w:rsidR="006B1998">
        <w:rPr>
          <w:sz w:val="28"/>
          <w:szCs w:val="28"/>
        </w:rPr>
        <w:t>-75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lastRenderedPageBreak/>
        <w:t>8</w:t>
      </w:r>
      <w:r w:rsidR="0063061E">
        <w:rPr>
          <w:sz w:val="28"/>
          <w:szCs w:val="28"/>
        </w:rPr>
        <w:t>8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D8287D">
        <w:rPr>
          <w:sz w:val="28"/>
          <w:szCs w:val="28"/>
        </w:rPr>
        <w:t>91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63061E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92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93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63061E">
        <w:rPr>
          <w:sz w:val="28"/>
          <w:szCs w:val="28"/>
        </w:rPr>
        <w:t>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5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61E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63061E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387BB9" w:rsidRPr="00BD7507" w:rsidRDefault="006B1998" w:rsidP="00387BB9">
      <w:pPr>
        <w:ind w:firstLine="709"/>
        <w:jc w:val="both"/>
      </w:pPr>
      <w:r>
        <w:rPr>
          <w:sz w:val="28"/>
          <w:szCs w:val="28"/>
        </w:rPr>
        <w:t>10</w:t>
      </w:r>
      <w:r w:rsidR="0063061E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76012" w:rsidRDefault="0027601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>находящегося в собственности муниципального образования «Кардымовский район»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D047A0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0308E4" w:rsidRPr="0027305A" w:rsidRDefault="000308E4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D047A0" w:rsidP="003C223B">
      <w:pPr>
        <w:jc w:val="center"/>
      </w:pPr>
      <w:r w:rsidRPr="00D047A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D047A0" w:rsidP="003C223B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308E4" w:rsidRPr="001C13BA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308E4" w:rsidRDefault="000308E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D047A0" w:rsidP="003C223B">
      <w:r w:rsidRPr="00D047A0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D047A0" w:rsidP="003C223B">
      <w:pPr>
        <w:rPr>
          <w:sz w:val="28"/>
          <w:szCs w:val="28"/>
        </w:rPr>
      </w:pPr>
      <w:r w:rsidRPr="00D047A0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0308E4" w:rsidRDefault="000308E4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308E4" w:rsidRPr="0027305A" w:rsidRDefault="000308E4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D047A0" w:rsidP="003C223B">
      <w:pPr>
        <w:jc w:val="center"/>
        <w:rPr>
          <w:b/>
          <w:sz w:val="24"/>
          <w:szCs w:val="24"/>
        </w:rPr>
      </w:pPr>
      <w:r w:rsidRPr="00D047A0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D047A0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D047A0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D047A0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0308E4" w:rsidRPr="0027305A" w:rsidRDefault="000308E4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D047A0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D047A0" w:rsidP="00B33CC8">
      <w:pPr>
        <w:ind w:firstLine="709"/>
        <w:jc w:val="center"/>
      </w:pPr>
      <w:r w:rsidRPr="00D047A0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D047A0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308E4" w:rsidRDefault="000308E4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308E4" w:rsidRPr="001C13BA" w:rsidRDefault="000308E4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D047A0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0308E4" w:rsidRPr="00886577" w:rsidRDefault="000308E4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308E4" w:rsidRPr="005331EF" w:rsidRDefault="000308E4" w:rsidP="00191470"/>
              </w:txbxContent>
            </v:textbox>
          </v:shape>
        </w:pict>
      </w:r>
      <w:r w:rsidRPr="00D047A0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0308E4" w:rsidRPr="00886577" w:rsidRDefault="000308E4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D047A0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D047A0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D047A0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0308E4" w:rsidRPr="00CA49FC" w:rsidRDefault="000308E4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308E4" w:rsidRPr="00442C33" w:rsidRDefault="000308E4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0308E4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308E4" w:rsidRPr="00442C33" w:rsidRDefault="000308E4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D047A0" w:rsidP="00B33CC8">
      <w:pPr>
        <w:ind w:firstLine="709"/>
        <w:jc w:val="center"/>
      </w:pPr>
      <w:r w:rsidRPr="00D047A0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D047A0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D047A0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D047A0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D047A0" w:rsidP="00FD7A24">
      <w:pPr>
        <w:tabs>
          <w:tab w:val="left" w:pos="142"/>
        </w:tabs>
        <w:ind w:firstLine="709"/>
        <w:jc w:val="center"/>
      </w:pPr>
      <w:r w:rsidRPr="00D047A0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0308E4" w:rsidRPr="0027305A" w:rsidRDefault="000308E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D047A0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0308E4" w:rsidRPr="001C13BA" w:rsidRDefault="000308E4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D047A0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092677" w:rsidRDefault="000308E4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0308E4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308E4" w:rsidRPr="00871E1A" w:rsidRDefault="000308E4" w:rsidP="00871E1A"/>
              </w:txbxContent>
            </v:textbox>
          </v:shape>
        </w:pict>
      </w:r>
    </w:p>
    <w:p w:rsidR="00B33CC8" w:rsidRPr="008B6BC6" w:rsidRDefault="00D047A0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D047A0" w:rsidP="00B33CC8">
      <w:pPr>
        <w:ind w:firstLine="709"/>
        <w:jc w:val="center"/>
      </w:pPr>
      <w:r w:rsidRPr="00D047A0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D047A0" w:rsidP="00B33CC8">
      <w:pPr>
        <w:ind w:firstLine="709"/>
      </w:pPr>
      <w:r w:rsidRPr="00D047A0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D047A0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0308E4" w:rsidRPr="00C05FDA" w:rsidRDefault="000308E4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0308E4" w:rsidRPr="00871E1A" w:rsidRDefault="000308E4" w:rsidP="00C05FDA"/>
              </w:txbxContent>
            </v:textbox>
          </v:shape>
        </w:pict>
      </w:r>
    </w:p>
    <w:p w:rsidR="00B33CC8" w:rsidRPr="0078498B" w:rsidRDefault="00D047A0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D047A0" w:rsidP="00B33CC8">
      <w:pPr>
        <w:rPr>
          <w:sz w:val="28"/>
          <w:szCs w:val="28"/>
        </w:rPr>
      </w:pPr>
      <w:r w:rsidRPr="00D047A0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D047A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0308E4" w:rsidRPr="0027305A" w:rsidRDefault="000308E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D047A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D047A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0308E4" w:rsidRPr="00871E1A" w:rsidRDefault="000308E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0308E4" w:rsidRPr="00092677" w:rsidRDefault="000308E4" w:rsidP="00871E1A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D047A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1.1pt;margin-top:17.35pt;width:0;height:14.5pt;z-index:251713024" o:connectortype="straight">
            <v:stroke endarrow="block"/>
          </v:shape>
        </w:pict>
      </w:r>
      <w:r w:rsidRPr="00D047A0">
        <w:rPr>
          <w:b/>
          <w:noProof/>
        </w:rPr>
        <w:pict>
          <v:shape id="_x0000_s1157" type="#_x0000_t202" style="position:absolute;left:0;text-align:left;margin-left:5.95pt;margin-top:36.3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0308E4" w:rsidRPr="00092677" w:rsidRDefault="000308E4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308E4" w:rsidRPr="00092677" w:rsidRDefault="000308E4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0308E4" w:rsidRPr="00330661" w:rsidRDefault="000308E4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0308E4" w:rsidRPr="00CA49FC" w:rsidRDefault="000308E4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0308E4" w:rsidRPr="00CA49FC" w:rsidRDefault="000308E4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0308E4" w:rsidRPr="00330661" w:rsidRDefault="000308E4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0308E4" w:rsidRPr="00CA49FC" w:rsidRDefault="000308E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0308E4" w:rsidRPr="00CA49FC" w:rsidRDefault="000308E4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D047A0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0308E4" w:rsidRPr="00CA49FC" w:rsidRDefault="000308E4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0308E4" w:rsidRPr="004C5216" w:rsidRDefault="000308E4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3A" w:rsidRDefault="00807B3A" w:rsidP="00AD5B28">
      <w:r>
        <w:separator/>
      </w:r>
    </w:p>
  </w:endnote>
  <w:endnote w:type="continuationSeparator" w:id="1">
    <w:p w:rsidR="00807B3A" w:rsidRDefault="00807B3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E0" w:rsidRPr="001B1DE0" w:rsidRDefault="001B1DE0">
    <w:pPr>
      <w:pStyle w:val="ac"/>
      <w:rPr>
        <w:sz w:val="16"/>
      </w:rPr>
    </w:pPr>
    <w:r>
      <w:rPr>
        <w:sz w:val="16"/>
      </w:rPr>
      <w:t>Рег. № 00125  от 02.03.2017, Подписано ЭП: Беляев Евгений Васильевич, "Глава муниципального образования ""Кардымовский район"" Смол.обл." 02.03.2017 16:47:27,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3A" w:rsidRDefault="00807B3A" w:rsidP="00AD5B28">
      <w:r>
        <w:separator/>
      </w:r>
    </w:p>
  </w:footnote>
  <w:footnote w:type="continuationSeparator" w:id="1">
    <w:p w:rsidR="00807B3A" w:rsidRDefault="00807B3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4" w:rsidRDefault="00D047A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308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08E4" w:rsidRDefault="000308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9306D"/>
    <w:rsid w:val="00897AF6"/>
    <w:rsid w:val="008A4086"/>
    <w:rsid w:val="008A4224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2" type="connector" idref="#_x0000_s1164"/>
        <o:r id="V:Rule33" type="connector" idref="#_x0000_s1124"/>
        <o:r id="V:Rule34" type="connector" idref="#_x0000_s1163"/>
        <o:r id="V:Rule35" type="connector" idref="#_x0000_s1177"/>
        <o:r id="V:Rule36" type="connector" idref="#_x0000_s1144"/>
        <o:r id="V:Rule37" type="connector" idref="#_x0000_s1165"/>
        <o:r id="V:Rule38" type="connector" idref="#_x0000_s1135"/>
        <o:r id="V:Rule39" type="connector" idref="#_x0000_s1129"/>
        <o:r id="V:Rule40" type="connector" idref="#_x0000_s1171"/>
        <o:r id="V:Rule41" type="connector" idref="#_x0000_s1158"/>
        <o:r id="V:Rule42" type="connector" idref="#_x0000_s1179"/>
        <o:r id="V:Rule43" type="connector" idref="#_x0000_s1176"/>
        <o:r id="V:Rule44" type="connector" idref="#_x0000_s1172"/>
        <o:r id="V:Rule45" type="connector" idref="#_x0000_s1154"/>
        <o:r id="V:Rule46" type="connector" idref="#_x0000_s1146"/>
        <o:r id="V:Rule47" type="connector" idref="#_x0000_s1169"/>
        <o:r id="V:Rule48" type="connector" idref="#_x0000_s1190"/>
        <o:r id="V:Rule49" type="connector" idref="#_x0000_s1191"/>
        <o:r id="V:Rule50" type="connector" idref="#_x0000_s1134"/>
        <o:r id="V:Rule51" type="connector" idref="#_x0000_s1182"/>
        <o:r id="V:Rule52" type="connector" idref="#_x0000_s1145"/>
        <o:r id="V:Rule53" type="connector" idref="#_x0000_s1173"/>
        <o:r id="V:Rule54" type="connector" idref="#_x0000_s1170"/>
        <o:r id="V:Rule55" type="connector" idref="#_x0000_s1189"/>
        <o:r id="V:Rule56" type="connector" idref="#_x0000_s1138"/>
        <o:r id="V:Rule57" type="connector" idref="#_x0000_s1192"/>
        <o:r id="V:Rule58" type="connector" idref="#_x0000_s1132"/>
        <o:r id="V:Rule59" type="connector" idref="#_x0000_s1174"/>
        <o:r id="V:Rule60" type="connector" idref="#_x0000_s1139"/>
        <o:r id="V:Rule61" type="connector" idref="#_x0000_s1183"/>
        <o:r id="V:Rule62" type="connector" idref="#_x0000_s118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41578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Uchet-i</cp:lastModifiedBy>
  <cp:revision>2</cp:revision>
  <cp:lastPrinted>2017-02-06T10:09:00Z</cp:lastPrinted>
  <dcterms:created xsi:type="dcterms:W3CDTF">2017-03-02T14:32:00Z</dcterms:created>
  <dcterms:modified xsi:type="dcterms:W3CDTF">2017-03-02T14:32:00Z</dcterms:modified>
</cp:coreProperties>
</file>